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8C2" w:rsidRDefault="009D58C2" w:rsidP="009D58C2">
      <w:pPr>
        <w:ind w:firstLine="720"/>
        <w:jc w:val="center"/>
        <w:rPr>
          <w:b/>
        </w:rPr>
      </w:pPr>
      <w:r>
        <w:rPr>
          <w:b/>
        </w:rPr>
        <w:t>NACIONALINĖ MOKYKLŲ VERTINIMO AGENTŪRA</w:t>
      </w:r>
    </w:p>
    <w:p w:rsidR="009D58C2" w:rsidRDefault="009D58C2" w:rsidP="009D58C2">
      <w:pPr>
        <w:pStyle w:val="Bodytext21"/>
        <w:spacing w:after="0" w:line="240" w:lineRule="auto"/>
        <w:ind w:firstLine="720"/>
        <w:jc w:val="center"/>
        <w:rPr>
          <w:rFonts w:ascii="Times New Roman" w:hAnsi="Times New Roman"/>
          <w:sz w:val="24"/>
          <w:szCs w:val="24"/>
        </w:rPr>
      </w:pPr>
      <w:r>
        <w:rPr>
          <w:rFonts w:ascii="Times New Roman" w:hAnsi="Times New Roman"/>
          <w:sz w:val="24"/>
          <w:szCs w:val="24"/>
        </w:rPr>
        <w:t xml:space="preserve">ŠILUTĖS R. VILKYČIŲ PAGRINDINĖS MOKYKLOS </w:t>
      </w:r>
      <w:r w:rsidRPr="004C5BCF">
        <w:rPr>
          <w:rFonts w:ascii="Times New Roman" w:hAnsi="Times New Roman"/>
          <w:sz w:val="24"/>
          <w:szCs w:val="24"/>
        </w:rPr>
        <w:t>IŠORINIO VERTINIMO ATASKAITA</w:t>
      </w:r>
    </w:p>
    <w:p w:rsidR="009D58C2" w:rsidRPr="004C5BCF" w:rsidRDefault="009D58C2" w:rsidP="009D58C2">
      <w:pPr>
        <w:pStyle w:val="Bodytext21"/>
        <w:spacing w:after="0" w:line="240" w:lineRule="auto"/>
        <w:ind w:firstLine="720"/>
        <w:jc w:val="center"/>
        <w:rPr>
          <w:rFonts w:ascii="Times New Roman" w:hAnsi="Times New Roman"/>
          <w:sz w:val="24"/>
          <w:szCs w:val="24"/>
        </w:rPr>
      </w:pPr>
    </w:p>
    <w:p w:rsidR="009D58C2" w:rsidRDefault="009D58C2" w:rsidP="009D58C2">
      <w:pPr>
        <w:jc w:val="center"/>
        <w:rPr>
          <w:color w:val="000000"/>
        </w:rPr>
      </w:pPr>
      <w:r>
        <w:rPr>
          <w:color w:val="000000"/>
        </w:rPr>
        <w:t xml:space="preserve">2016-12-29 Nr. A-73 </w:t>
      </w:r>
    </w:p>
    <w:p w:rsidR="009D58C2" w:rsidRPr="009D58C2" w:rsidRDefault="009D58C2" w:rsidP="009D58C2">
      <w:pPr>
        <w:jc w:val="center"/>
        <w:rPr>
          <w:color w:val="000000"/>
          <w:sz w:val="22"/>
        </w:rPr>
      </w:pPr>
      <w:r>
        <w:rPr>
          <w:color w:val="000000"/>
        </w:rPr>
        <w:t>Vilnius</w:t>
      </w:r>
      <w:r>
        <w:rPr>
          <w:color w:val="000000"/>
        </w:rPr>
        <w:br/>
      </w:r>
    </w:p>
    <w:p w:rsidR="009D58C2" w:rsidRPr="002B5C20" w:rsidRDefault="009D58C2" w:rsidP="009D58C2">
      <w:pPr>
        <w:ind w:firstLine="709"/>
        <w:jc w:val="both"/>
        <w:rPr>
          <w:color w:val="000000"/>
        </w:rPr>
      </w:pPr>
      <w:r w:rsidRPr="002B5C20">
        <w:rPr>
          <w:color w:val="000000"/>
        </w:rPr>
        <w:t>Mokykloje 2016 m. lapkričio 28</w:t>
      </w:r>
      <w:r>
        <w:rPr>
          <w:color w:val="000000"/>
        </w:rPr>
        <w:t xml:space="preserve"> - </w:t>
      </w:r>
      <w:r w:rsidRPr="002B5C20">
        <w:rPr>
          <w:color w:val="000000"/>
        </w:rPr>
        <w:t>gruodžio 1 dienomis atliktas veiklos kokybės išorės vertinimas. Išorės vertintojai stebėjo ir protokolavo 60 veiklų, pradinio ir pagrindinio ugdymo dalykų pamokas, neformaliojo švietimo, švietimo pagalbos specialistų užsiėmimus, konsultacijas, klasės valandėlę. Vertinimo metu gilintasi į mokinių, mokytojų ir švietimo pagalbos specialistų veiklą pamokose ir užsiėmimuose, mokyklos vadovų, klasių vadovų ir aptarnaujančio personalo darbą, kalbėtasi su Mokyklos tarybos nariais, mokytojų metodinių grupių atstovais, Mokinių tarybos nariais, įsivertinimą koordinuojančiomis grupėmis, Vaiko gerovės komisija ir kt. Analizuota mokyklos veikla, nagrinėti mokinių pasiekimų ir pažangos fiksavimo dokumentai. Atsižvelgta į Šilutės r. savivaldybės administracijos Švietimo skyriaus informaciją. Darbe vadovautasi Bendrojo lavinimo mokyklų veiklos kokybės išorinio vertinimo tvarkos aprašu, Mokyklų išorės vertintojų elgesio kodeksu, informacijos fiksavimo formomis. Naudotasi Bendrojo lavinimo mokyklos veiklos kokybės įsivertinimo rekomendacijose aprašytais bendrojo lavinimo mokyklos veiklos rodikliais.</w:t>
      </w:r>
    </w:p>
    <w:tbl>
      <w:tblPr>
        <w:tblStyle w:val="TableGrid"/>
        <w:tblW w:w="101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833"/>
      </w:tblGrid>
      <w:tr w:rsidR="009D58C2" w:rsidRPr="002B77FE" w:rsidTr="00386C5F">
        <w:tc>
          <w:tcPr>
            <w:tcW w:w="5353" w:type="dxa"/>
          </w:tcPr>
          <w:p w:rsidR="009D58C2" w:rsidRPr="002B77FE" w:rsidRDefault="009D58C2" w:rsidP="00386C5F">
            <w:pPr>
              <w:tabs>
                <w:tab w:val="left" w:pos="5387"/>
              </w:tabs>
              <w:rPr>
                <w:b/>
                <w:bCs/>
                <w:color w:val="000000"/>
                <w:sz w:val="24"/>
                <w:szCs w:val="24"/>
              </w:rPr>
            </w:pPr>
            <w:r w:rsidRPr="002B77FE">
              <w:rPr>
                <w:color w:val="000000"/>
                <w:sz w:val="24"/>
                <w:szCs w:val="24"/>
              </w:rPr>
              <w:t xml:space="preserve">            </w:t>
            </w:r>
          </w:p>
          <w:p w:rsidR="009D58C2" w:rsidRPr="002B77FE" w:rsidRDefault="009D58C2" w:rsidP="00386C5F">
            <w:pPr>
              <w:rPr>
                <w:color w:val="000000"/>
                <w:sz w:val="24"/>
                <w:szCs w:val="24"/>
              </w:rPr>
            </w:pPr>
            <w:r w:rsidRPr="002B77FE">
              <w:rPr>
                <w:b/>
                <w:bCs/>
                <w:color w:val="000000"/>
                <w:sz w:val="24"/>
                <w:szCs w:val="24"/>
              </w:rPr>
              <w:t>Stiprieji mokyklos veiklos aspektai:</w:t>
            </w:r>
            <w:r w:rsidRPr="002B77FE">
              <w:rPr>
                <w:color w:val="000000"/>
                <w:sz w:val="24"/>
                <w:szCs w:val="24"/>
              </w:rPr>
              <w:t xml:space="preserve"> </w:t>
            </w:r>
          </w:p>
          <w:p w:rsidR="009D58C2" w:rsidRPr="002B77FE" w:rsidRDefault="009D58C2" w:rsidP="00386C5F">
            <w:pPr>
              <w:rPr>
                <w:color w:val="000000"/>
                <w:sz w:val="24"/>
                <w:szCs w:val="24"/>
              </w:rPr>
            </w:pPr>
            <w:r w:rsidRPr="002B77FE">
              <w:rPr>
                <w:color w:val="000000"/>
                <w:sz w:val="24"/>
                <w:szCs w:val="24"/>
              </w:rPr>
              <w:t xml:space="preserve">1. Klasių mikroklimatas (1.1.6. – 3 lygis). </w:t>
            </w:r>
          </w:p>
          <w:p w:rsidR="009D58C2" w:rsidRPr="002B77FE" w:rsidRDefault="009D58C2" w:rsidP="00386C5F">
            <w:pPr>
              <w:rPr>
                <w:color w:val="000000"/>
                <w:sz w:val="24"/>
                <w:szCs w:val="24"/>
              </w:rPr>
            </w:pPr>
            <w:r w:rsidRPr="002B77FE">
              <w:rPr>
                <w:color w:val="000000"/>
                <w:sz w:val="24"/>
                <w:szCs w:val="24"/>
              </w:rPr>
              <w:t xml:space="preserve">2. Pageidaujamo elgesio skatinimas </w:t>
            </w:r>
          </w:p>
          <w:p w:rsidR="009D58C2" w:rsidRPr="002B77FE" w:rsidRDefault="009D58C2" w:rsidP="00386C5F">
            <w:pPr>
              <w:rPr>
                <w:color w:val="000000"/>
                <w:sz w:val="24"/>
                <w:szCs w:val="24"/>
              </w:rPr>
            </w:pPr>
            <w:r w:rsidRPr="002B77FE">
              <w:rPr>
                <w:color w:val="000000"/>
                <w:sz w:val="24"/>
                <w:szCs w:val="24"/>
              </w:rPr>
              <w:t xml:space="preserve">(1.3.2. – 3 lygis). </w:t>
            </w:r>
          </w:p>
          <w:p w:rsidR="009D58C2" w:rsidRPr="002B77FE" w:rsidRDefault="009D58C2" w:rsidP="00386C5F">
            <w:pPr>
              <w:rPr>
                <w:color w:val="000000"/>
                <w:sz w:val="24"/>
                <w:szCs w:val="24"/>
              </w:rPr>
            </w:pPr>
            <w:r w:rsidRPr="002B77FE">
              <w:rPr>
                <w:color w:val="000000"/>
                <w:sz w:val="24"/>
                <w:szCs w:val="24"/>
              </w:rPr>
              <w:t xml:space="preserve">3. Aplinkos jaukumas (1.3.3. – 4 lygis). </w:t>
            </w:r>
          </w:p>
          <w:p w:rsidR="009D58C2" w:rsidRPr="002B77FE" w:rsidRDefault="009D58C2" w:rsidP="00386C5F">
            <w:pPr>
              <w:rPr>
                <w:color w:val="000000"/>
                <w:sz w:val="24"/>
                <w:szCs w:val="24"/>
              </w:rPr>
            </w:pPr>
            <w:r w:rsidRPr="002B77FE">
              <w:rPr>
                <w:color w:val="000000"/>
                <w:sz w:val="24"/>
                <w:szCs w:val="24"/>
              </w:rPr>
              <w:t xml:space="preserve">4. Partnerystė su kitomis institucijomis </w:t>
            </w:r>
          </w:p>
          <w:p w:rsidR="009D58C2" w:rsidRPr="002B77FE" w:rsidRDefault="009D58C2" w:rsidP="00386C5F">
            <w:pPr>
              <w:rPr>
                <w:color w:val="000000"/>
                <w:sz w:val="24"/>
                <w:szCs w:val="24"/>
              </w:rPr>
            </w:pPr>
            <w:r w:rsidRPr="002B77FE">
              <w:rPr>
                <w:color w:val="000000"/>
                <w:sz w:val="24"/>
                <w:szCs w:val="24"/>
              </w:rPr>
              <w:t xml:space="preserve">(1.4.2. – 3 lygis). </w:t>
            </w:r>
          </w:p>
          <w:p w:rsidR="009D58C2" w:rsidRPr="002B77FE" w:rsidRDefault="009D58C2" w:rsidP="00386C5F">
            <w:pPr>
              <w:rPr>
                <w:color w:val="000000"/>
                <w:sz w:val="24"/>
                <w:szCs w:val="24"/>
              </w:rPr>
            </w:pPr>
            <w:r w:rsidRPr="002B77FE">
              <w:rPr>
                <w:color w:val="000000"/>
                <w:sz w:val="24"/>
                <w:szCs w:val="24"/>
              </w:rPr>
              <w:t xml:space="preserve">5. Neformalusis švietimas (2.1.5. – 4 lygis). </w:t>
            </w:r>
          </w:p>
          <w:p w:rsidR="009D58C2" w:rsidRPr="002B77FE" w:rsidRDefault="009D58C2" w:rsidP="00386C5F">
            <w:pPr>
              <w:rPr>
                <w:color w:val="000000"/>
                <w:sz w:val="24"/>
                <w:szCs w:val="24"/>
              </w:rPr>
            </w:pPr>
            <w:r w:rsidRPr="002B77FE">
              <w:rPr>
                <w:color w:val="000000"/>
                <w:sz w:val="24"/>
                <w:szCs w:val="24"/>
              </w:rPr>
              <w:t xml:space="preserve">6. Kiti mokinių pasiekimai (3.2.2. – 3 lygis). </w:t>
            </w:r>
          </w:p>
          <w:p w:rsidR="009D58C2" w:rsidRPr="002B77FE" w:rsidRDefault="009D58C2" w:rsidP="00386C5F">
            <w:pPr>
              <w:rPr>
                <w:color w:val="000000"/>
                <w:sz w:val="24"/>
                <w:szCs w:val="24"/>
              </w:rPr>
            </w:pPr>
            <w:r w:rsidRPr="002B77FE">
              <w:rPr>
                <w:color w:val="000000"/>
                <w:sz w:val="24"/>
                <w:szCs w:val="24"/>
              </w:rPr>
              <w:t xml:space="preserve">7. Socialinė pagalba (4.2.3. – 3 lygis). </w:t>
            </w:r>
          </w:p>
          <w:p w:rsidR="009D58C2" w:rsidRPr="002B77FE" w:rsidRDefault="009D58C2" w:rsidP="00386C5F">
            <w:pPr>
              <w:rPr>
                <w:color w:val="000000"/>
                <w:sz w:val="24"/>
                <w:szCs w:val="24"/>
              </w:rPr>
            </w:pPr>
            <w:r w:rsidRPr="002B77FE">
              <w:rPr>
                <w:color w:val="000000"/>
                <w:sz w:val="24"/>
                <w:szCs w:val="24"/>
              </w:rPr>
              <w:t xml:space="preserve">8. Valdymo demokratiškumas (5.3.1. – 3 lygis). </w:t>
            </w:r>
          </w:p>
          <w:p w:rsidR="009D58C2" w:rsidRPr="002B77FE" w:rsidRDefault="009D58C2" w:rsidP="00386C5F">
            <w:pPr>
              <w:rPr>
                <w:color w:val="000000"/>
                <w:sz w:val="24"/>
                <w:szCs w:val="24"/>
              </w:rPr>
            </w:pPr>
            <w:r w:rsidRPr="002B77FE">
              <w:rPr>
                <w:color w:val="000000"/>
                <w:sz w:val="24"/>
                <w:szCs w:val="24"/>
              </w:rPr>
              <w:t xml:space="preserve">9. Personalo valdymas (5.4. – 3 lygis). </w:t>
            </w:r>
          </w:p>
          <w:p w:rsidR="009D58C2" w:rsidRPr="002B77FE" w:rsidRDefault="009D58C2" w:rsidP="00386C5F">
            <w:pPr>
              <w:rPr>
                <w:color w:val="000000"/>
                <w:sz w:val="24"/>
                <w:szCs w:val="24"/>
              </w:rPr>
            </w:pPr>
            <w:r w:rsidRPr="002B77FE">
              <w:rPr>
                <w:color w:val="000000"/>
                <w:sz w:val="24"/>
                <w:szCs w:val="24"/>
              </w:rPr>
              <w:t>10. Materialinių išteklių valdymas (5.5.– 3 lygis).</w:t>
            </w:r>
          </w:p>
          <w:p w:rsidR="009D58C2" w:rsidRPr="002B77FE" w:rsidRDefault="009D58C2" w:rsidP="00386C5F">
            <w:pPr>
              <w:rPr>
                <w:color w:val="000000"/>
                <w:sz w:val="24"/>
                <w:szCs w:val="24"/>
              </w:rPr>
            </w:pPr>
          </w:p>
        </w:tc>
        <w:tc>
          <w:tcPr>
            <w:tcW w:w="4833" w:type="dxa"/>
          </w:tcPr>
          <w:p w:rsidR="009D58C2" w:rsidRPr="002B77FE" w:rsidRDefault="009D58C2" w:rsidP="00386C5F">
            <w:pPr>
              <w:rPr>
                <w:b/>
                <w:bCs/>
                <w:color w:val="000000"/>
                <w:sz w:val="24"/>
                <w:szCs w:val="24"/>
              </w:rPr>
            </w:pPr>
          </w:p>
          <w:p w:rsidR="009D58C2" w:rsidRPr="002B77FE" w:rsidRDefault="009D58C2" w:rsidP="00386C5F">
            <w:pPr>
              <w:ind w:left="-675" w:firstLine="567"/>
              <w:rPr>
                <w:color w:val="000000"/>
                <w:sz w:val="24"/>
                <w:szCs w:val="24"/>
              </w:rPr>
            </w:pPr>
            <w:r w:rsidRPr="002B77FE">
              <w:rPr>
                <w:b/>
                <w:bCs/>
                <w:color w:val="000000"/>
                <w:sz w:val="24"/>
                <w:szCs w:val="24"/>
              </w:rPr>
              <w:t>Tobulintini mokyklos veiklos aspektai:</w:t>
            </w:r>
            <w:r w:rsidRPr="002B77FE">
              <w:rPr>
                <w:color w:val="000000"/>
                <w:sz w:val="24"/>
                <w:szCs w:val="24"/>
              </w:rPr>
              <w:t xml:space="preserve"> </w:t>
            </w:r>
          </w:p>
          <w:p w:rsidR="009D58C2" w:rsidRPr="002B77FE" w:rsidRDefault="009D58C2" w:rsidP="00386C5F">
            <w:pPr>
              <w:ind w:left="-675" w:firstLine="567"/>
              <w:rPr>
                <w:color w:val="000000"/>
                <w:sz w:val="24"/>
                <w:szCs w:val="24"/>
              </w:rPr>
            </w:pPr>
            <w:r w:rsidRPr="002B77FE">
              <w:rPr>
                <w:color w:val="000000"/>
                <w:sz w:val="24"/>
                <w:szCs w:val="24"/>
              </w:rPr>
              <w:t xml:space="preserve">1. Dalykų ryšiai ir integracija (2.1.3. – 2 lygis). </w:t>
            </w:r>
          </w:p>
          <w:p w:rsidR="009D58C2" w:rsidRPr="002B77FE" w:rsidRDefault="009D58C2" w:rsidP="00386C5F">
            <w:pPr>
              <w:ind w:left="-675" w:firstLine="567"/>
              <w:rPr>
                <w:color w:val="000000"/>
                <w:sz w:val="24"/>
                <w:szCs w:val="24"/>
              </w:rPr>
            </w:pPr>
            <w:r w:rsidRPr="002B77FE">
              <w:rPr>
                <w:color w:val="000000"/>
                <w:sz w:val="24"/>
                <w:szCs w:val="24"/>
              </w:rPr>
              <w:t xml:space="preserve">2. Mokymosi nuostatos ir būdai </w:t>
            </w:r>
          </w:p>
          <w:p w:rsidR="009D58C2" w:rsidRPr="002B77FE" w:rsidRDefault="009D58C2" w:rsidP="00386C5F">
            <w:pPr>
              <w:ind w:left="-675" w:firstLine="567"/>
              <w:rPr>
                <w:color w:val="000000"/>
                <w:sz w:val="24"/>
                <w:szCs w:val="24"/>
              </w:rPr>
            </w:pPr>
            <w:r w:rsidRPr="002B77FE">
              <w:rPr>
                <w:color w:val="000000"/>
                <w:sz w:val="24"/>
                <w:szCs w:val="24"/>
              </w:rPr>
              <w:t xml:space="preserve">(2.3.1. – 2 lygis). </w:t>
            </w:r>
          </w:p>
          <w:p w:rsidR="009D58C2" w:rsidRPr="002B77FE" w:rsidRDefault="009D58C2" w:rsidP="00386C5F">
            <w:pPr>
              <w:ind w:left="-675" w:firstLine="567"/>
              <w:rPr>
                <w:color w:val="000000"/>
                <w:sz w:val="24"/>
                <w:szCs w:val="24"/>
              </w:rPr>
            </w:pPr>
            <w:r w:rsidRPr="002B77FE">
              <w:rPr>
                <w:color w:val="000000"/>
                <w:sz w:val="24"/>
                <w:szCs w:val="24"/>
              </w:rPr>
              <w:t xml:space="preserve">3. Išmokimo stebėjimas (2.3.4. – 2 lygis). </w:t>
            </w:r>
          </w:p>
          <w:p w:rsidR="009D58C2" w:rsidRPr="002B77FE" w:rsidRDefault="009D58C2" w:rsidP="00386C5F">
            <w:pPr>
              <w:ind w:left="-675" w:firstLine="567"/>
              <w:rPr>
                <w:color w:val="000000"/>
                <w:sz w:val="24"/>
                <w:szCs w:val="24"/>
              </w:rPr>
            </w:pPr>
            <w:r w:rsidRPr="002B77FE">
              <w:rPr>
                <w:color w:val="000000"/>
                <w:sz w:val="24"/>
                <w:szCs w:val="24"/>
              </w:rPr>
              <w:t xml:space="preserve">4. Mokymosi veiklos diferencijavimas </w:t>
            </w:r>
          </w:p>
          <w:p w:rsidR="009D58C2" w:rsidRPr="002B77FE" w:rsidRDefault="009D58C2" w:rsidP="00386C5F">
            <w:pPr>
              <w:ind w:left="-675" w:firstLine="567"/>
              <w:rPr>
                <w:color w:val="000000"/>
                <w:sz w:val="24"/>
                <w:szCs w:val="24"/>
              </w:rPr>
            </w:pPr>
            <w:r w:rsidRPr="002B77FE">
              <w:rPr>
                <w:color w:val="000000"/>
                <w:sz w:val="24"/>
                <w:szCs w:val="24"/>
              </w:rPr>
              <w:t xml:space="preserve">(2.5.2. – 2 lygis). </w:t>
            </w:r>
          </w:p>
          <w:p w:rsidR="009D58C2" w:rsidRPr="002B77FE" w:rsidRDefault="009D58C2" w:rsidP="00386C5F">
            <w:pPr>
              <w:ind w:left="-675" w:firstLine="567"/>
              <w:jc w:val="both"/>
              <w:rPr>
                <w:color w:val="000000"/>
                <w:sz w:val="24"/>
                <w:szCs w:val="24"/>
              </w:rPr>
            </w:pPr>
            <w:r w:rsidRPr="002B77FE">
              <w:rPr>
                <w:color w:val="000000"/>
                <w:sz w:val="24"/>
                <w:szCs w:val="24"/>
              </w:rPr>
              <w:t>5. Vertinimas kaip ugdymas (2.6.2. – 2 lygis).</w:t>
            </w:r>
          </w:p>
        </w:tc>
      </w:tr>
    </w:tbl>
    <w:p w:rsidR="00121450" w:rsidRDefault="009D58C2" w:rsidP="00742D2A">
      <w:pPr>
        <w:ind w:firstLine="567"/>
        <w:jc w:val="both"/>
      </w:pPr>
      <w:r>
        <w:rPr>
          <w:color w:val="000000"/>
        </w:rPr>
        <w:t xml:space="preserve">Parengtas </w:t>
      </w:r>
      <w:r>
        <w:t>Š</w:t>
      </w:r>
      <w:r w:rsidRPr="009D58C2">
        <w:t>ilutės r. Vilkyčių pagrindinės mokyklos Veiklos tobulinimo planas 2017-2018 m.</w:t>
      </w:r>
      <w:r w:rsidR="00742D2A">
        <w:t xml:space="preserve"> </w:t>
      </w:r>
      <w:r>
        <w:rPr>
          <w:color w:val="000000"/>
        </w:rPr>
        <w:t xml:space="preserve">pamokos kokybei gerinti, mokytojų kompetencijų stiprinimui ir mokyklos bendruomenės narių bendradarbiavimui plėtoti,  patvirtintas Šilutės </w:t>
      </w:r>
      <w:r w:rsidRPr="002505BD">
        <w:t>r. Vilkyčių pagr</w:t>
      </w:r>
      <w:bookmarkStart w:id="0" w:name="_GoBack"/>
      <w:bookmarkEnd w:id="0"/>
      <w:r w:rsidRPr="002505BD">
        <w:t xml:space="preserve">indinės mokyklos direktoriaus 2017 m. </w:t>
      </w:r>
      <w:r>
        <w:t xml:space="preserve">birželio 29 </w:t>
      </w:r>
      <w:r w:rsidRPr="002505BD">
        <w:t>d. įsakymu Nr. V1-</w:t>
      </w:r>
      <w:r>
        <w:t>92</w:t>
      </w:r>
    </w:p>
    <w:sectPr w:rsidR="00121450" w:rsidSect="009D58C2">
      <w:pgSz w:w="11906" w:h="16838"/>
      <w:pgMar w:top="993" w:right="567" w:bottom="1134" w:left="993"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296"/>
  <w:hyphenationZone w:val="396"/>
  <w:characterSpacingControl w:val="doNotCompress"/>
  <w:savePreviewPicture/>
  <w:compat/>
  <w:rsids>
    <w:rsidRoot w:val="00D60526"/>
    <w:rsid w:val="00121450"/>
    <w:rsid w:val="002B77FE"/>
    <w:rsid w:val="0056417F"/>
    <w:rsid w:val="00742D2A"/>
    <w:rsid w:val="009D58C2"/>
    <w:rsid w:val="00D6052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8C2"/>
    <w:pPr>
      <w:spacing w:after="0" w:line="240" w:lineRule="auto"/>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58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
    <w:link w:val="Bodytext21"/>
    <w:locked/>
    <w:rsid w:val="009D58C2"/>
    <w:rPr>
      <w:b/>
      <w:bCs/>
      <w:shd w:val="clear" w:color="auto" w:fill="FFFFFF"/>
    </w:rPr>
  </w:style>
  <w:style w:type="paragraph" w:customStyle="1" w:styleId="Bodytext21">
    <w:name w:val="Body text (2)1"/>
    <w:basedOn w:val="Normal"/>
    <w:link w:val="Bodytext2"/>
    <w:rsid w:val="009D58C2"/>
    <w:pPr>
      <w:shd w:val="clear" w:color="auto" w:fill="FFFFFF"/>
      <w:spacing w:after="60" w:line="240" w:lineRule="atLeast"/>
      <w:ind w:firstLine="660"/>
    </w:pPr>
    <w:rPr>
      <w:rFonts w:asciiTheme="minorHAnsi" w:eastAsiaTheme="minorHAnsi" w:hAnsiTheme="minorHAnsi" w:cstheme="minorBidi"/>
      <w:b/>
      <w:bC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D58C2"/>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9D5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
    <w:link w:val="Bodytext21"/>
    <w:locked/>
    <w:rsid w:val="009D58C2"/>
    <w:rPr>
      <w:b/>
      <w:bCs/>
      <w:shd w:val="clear" w:color="auto" w:fill="FFFFFF"/>
    </w:rPr>
  </w:style>
  <w:style w:type="paragraph" w:customStyle="1" w:styleId="Bodytext21">
    <w:name w:val="Body text (2)1"/>
    <w:basedOn w:val="prastasis"/>
    <w:link w:val="Bodytext2"/>
    <w:rsid w:val="009D58C2"/>
    <w:pPr>
      <w:shd w:val="clear" w:color="auto" w:fill="FFFFFF"/>
      <w:spacing w:after="60" w:line="240" w:lineRule="atLeast"/>
      <w:ind w:firstLine="660"/>
    </w:pPr>
    <w:rPr>
      <w:rFonts w:asciiTheme="minorHAnsi" w:eastAsiaTheme="minorHAnsi" w:hAnsiTheme="minorHAnsi" w:cstheme="minorBidi"/>
      <w:b/>
      <w:bCs/>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1542</Words>
  <Characters>880</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Kirkickienė</dc:creator>
  <cp:lastModifiedBy>Jurgita</cp:lastModifiedBy>
  <cp:revision>2</cp:revision>
  <dcterms:created xsi:type="dcterms:W3CDTF">2017-10-19T08:51:00Z</dcterms:created>
  <dcterms:modified xsi:type="dcterms:W3CDTF">2017-10-19T08:51:00Z</dcterms:modified>
</cp:coreProperties>
</file>